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9BF0" w14:textId="77777777" w:rsidR="00D5547E" w:rsidRPr="009E51FC" w:rsidRDefault="00D5547E" w:rsidP="004A6D2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2A3FE33A" w14:textId="77777777" w:rsidTr="005F7F7E">
        <w:tc>
          <w:tcPr>
            <w:tcW w:w="2438" w:type="dxa"/>
            <w:shd w:val="clear" w:color="auto" w:fill="auto"/>
          </w:tcPr>
          <w:p w14:paraId="4AA61529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086B0F7" w14:textId="77777777" w:rsidR="00F445B1" w:rsidRPr="00F95BC9" w:rsidRDefault="005325E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0A02CF" w:rsidRPr="000A02CF" w14:paraId="0282DA35" w14:textId="77777777" w:rsidTr="005F7F7E">
        <w:tc>
          <w:tcPr>
            <w:tcW w:w="2438" w:type="dxa"/>
            <w:shd w:val="clear" w:color="auto" w:fill="auto"/>
          </w:tcPr>
          <w:p w14:paraId="6FFCE655" w14:textId="77777777" w:rsidR="00F445B1" w:rsidRPr="000A02CF" w:rsidRDefault="00F445B1" w:rsidP="004A6D2F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Dat</w:t>
            </w:r>
            <w:r w:rsidR="005C35A5" w:rsidRPr="000A02CF">
              <w:rPr>
                <w:rStyle w:val="Firstpagetablebold"/>
                <w:color w:val="auto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41D48E8" w14:textId="41375F07" w:rsidR="00F445B1" w:rsidRPr="000A02CF" w:rsidRDefault="000A02CF" w:rsidP="005D0621">
            <w:pPr>
              <w:rPr>
                <w:b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11 September 2024</w:t>
            </w:r>
          </w:p>
        </w:tc>
      </w:tr>
      <w:tr w:rsidR="000A02CF" w:rsidRPr="000A02CF" w14:paraId="40F45F8D" w14:textId="77777777" w:rsidTr="005F7F7E">
        <w:tc>
          <w:tcPr>
            <w:tcW w:w="2438" w:type="dxa"/>
            <w:shd w:val="clear" w:color="auto" w:fill="auto"/>
          </w:tcPr>
          <w:p w14:paraId="70F9C246" w14:textId="77777777" w:rsidR="00F445B1" w:rsidRPr="000A02CF" w:rsidRDefault="00F445B1" w:rsidP="004A6D2F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Report of</w:t>
            </w:r>
            <w:r w:rsidR="005C35A5" w:rsidRPr="000A02CF">
              <w:rPr>
                <w:rStyle w:val="Firstpagetablebold"/>
                <w:color w:val="auto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389ED8EA" w14:textId="7537AF5E" w:rsidR="00F445B1" w:rsidRPr="000A02CF" w:rsidRDefault="000A02CF" w:rsidP="004A6D2F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Finance and Performance</w:t>
            </w:r>
            <w:r w:rsidR="00F672BA" w:rsidRPr="000A02CF">
              <w:rPr>
                <w:rStyle w:val="Firstpagetablebold"/>
                <w:color w:val="auto"/>
              </w:rPr>
              <w:t xml:space="preserve"> Panel</w:t>
            </w:r>
          </w:p>
        </w:tc>
      </w:tr>
      <w:tr w:rsidR="00CE544A" w:rsidRPr="000A02CF" w14:paraId="1BE9E8FF" w14:textId="77777777" w:rsidTr="005F7F7E">
        <w:tc>
          <w:tcPr>
            <w:tcW w:w="2438" w:type="dxa"/>
            <w:shd w:val="clear" w:color="auto" w:fill="auto"/>
          </w:tcPr>
          <w:p w14:paraId="7A027631" w14:textId="77777777" w:rsidR="00F445B1" w:rsidRPr="000A02CF" w:rsidRDefault="00F445B1" w:rsidP="004A6D2F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4B7D2B10" w14:textId="0631DC5C" w:rsidR="00F445B1" w:rsidRPr="000A02CF" w:rsidRDefault="000A02CF" w:rsidP="0078156F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Integrated Performance Report Q1 2024-25</w:t>
            </w:r>
            <w:r w:rsidR="004B5EC0" w:rsidRPr="000A02CF">
              <w:rPr>
                <w:rStyle w:val="Firstpagetablebold"/>
                <w:color w:val="auto"/>
              </w:rPr>
              <w:t xml:space="preserve"> </w:t>
            </w:r>
          </w:p>
        </w:tc>
      </w:tr>
    </w:tbl>
    <w:p w14:paraId="779C2C7D" w14:textId="77777777" w:rsidR="004F20EF" w:rsidRPr="000A02CF" w:rsidRDefault="004F20EF" w:rsidP="004A6D2F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0A02CF" w:rsidRPr="000A02CF" w14:paraId="367948EB" w14:textId="77777777" w:rsidTr="0080749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3D63BDE8" w14:textId="77777777" w:rsidR="00D5547E" w:rsidRPr="000A02CF" w:rsidRDefault="00745BF0" w:rsidP="00745BF0">
            <w:pPr>
              <w:jc w:val="center"/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Summary and r</w:t>
            </w:r>
            <w:r w:rsidR="00D5547E" w:rsidRPr="000A02CF">
              <w:rPr>
                <w:rStyle w:val="Firstpagetablebold"/>
                <w:color w:val="auto"/>
              </w:rPr>
              <w:t>ecommendations</w:t>
            </w:r>
          </w:p>
        </w:tc>
      </w:tr>
      <w:tr w:rsidR="000A02CF" w:rsidRPr="000A02CF" w14:paraId="07D05C13" w14:textId="77777777" w:rsidTr="0080749A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65EF3ED4" w14:textId="77777777" w:rsidR="00D5547E" w:rsidRPr="000A02CF" w:rsidRDefault="00D5547E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264A3497" w14:textId="41DF7556" w:rsidR="00D5547E" w:rsidRPr="000A02CF" w:rsidRDefault="00EF2280" w:rsidP="005325E4">
            <w:pPr>
              <w:rPr>
                <w:color w:val="auto"/>
              </w:rPr>
            </w:pPr>
            <w:r w:rsidRPr="000A02CF">
              <w:rPr>
                <w:color w:val="auto"/>
              </w:rPr>
              <w:t xml:space="preserve">To present </w:t>
            </w:r>
            <w:r w:rsidR="00F672BA" w:rsidRPr="000A02CF">
              <w:rPr>
                <w:color w:val="auto"/>
              </w:rPr>
              <w:t xml:space="preserve">Panel of the Scrutiny Committee </w:t>
            </w:r>
            <w:r w:rsidRPr="000A02CF">
              <w:rPr>
                <w:color w:val="auto"/>
              </w:rPr>
              <w:t xml:space="preserve">recommendations </w:t>
            </w:r>
            <w:r w:rsidR="005325E4" w:rsidRPr="000A02CF">
              <w:rPr>
                <w:color w:val="auto"/>
              </w:rPr>
              <w:t>for Cabinet consideration and decision</w:t>
            </w:r>
          </w:p>
        </w:tc>
      </w:tr>
      <w:tr w:rsidR="000A02CF" w:rsidRPr="000A02CF" w14:paraId="47CF3211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5F6908DC" w14:textId="77777777" w:rsidR="00D5547E" w:rsidRPr="000A02CF" w:rsidRDefault="00D5547E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Key decision:</w:t>
            </w:r>
          </w:p>
          <w:p w14:paraId="5B85D675" w14:textId="77777777" w:rsidR="001D14DE" w:rsidRPr="000A02CF" w:rsidRDefault="001D14DE">
            <w:pPr>
              <w:rPr>
                <w:rStyle w:val="Firstpagetablebold"/>
                <w:color w:val="auto"/>
              </w:rPr>
            </w:pPr>
            <w:r w:rsidRPr="000A02CF">
              <w:rPr>
                <w:rStyle w:val="Firstpagetablebold"/>
                <w:color w:val="auto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8812DFB" w14:textId="7E513016" w:rsidR="00D5547E" w:rsidRPr="000A02CF" w:rsidRDefault="004B5EC0" w:rsidP="005F7F7E">
            <w:pPr>
              <w:rPr>
                <w:bCs/>
                <w:color w:val="auto"/>
              </w:rPr>
            </w:pPr>
            <w:r w:rsidRPr="000A02CF">
              <w:rPr>
                <w:bCs/>
                <w:color w:val="auto"/>
              </w:rPr>
              <w:t>No</w:t>
            </w:r>
          </w:p>
          <w:p w14:paraId="4ECDCA1A" w14:textId="26E57708" w:rsidR="001D14DE" w:rsidRPr="000A02CF" w:rsidRDefault="001D14DE" w:rsidP="005325E4">
            <w:pPr>
              <w:rPr>
                <w:color w:val="auto"/>
              </w:rPr>
            </w:pPr>
            <w:r w:rsidRPr="000A02CF">
              <w:rPr>
                <w:color w:val="auto"/>
              </w:rPr>
              <w:t xml:space="preserve">Councillor </w:t>
            </w:r>
            <w:r w:rsidR="000A02CF" w:rsidRPr="000A02CF">
              <w:rPr>
                <w:color w:val="auto"/>
              </w:rPr>
              <w:t>James Fry</w:t>
            </w:r>
            <w:r w:rsidR="005325E4" w:rsidRPr="000A02CF">
              <w:rPr>
                <w:color w:val="auto"/>
              </w:rPr>
              <w:t xml:space="preserve">, </w:t>
            </w:r>
            <w:r w:rsidR="00F672BA" w:rsidRPr="000A02CF">
              <w:rPr>
                <w:color w:val="auto"/>
              </w:rPr>
              <w:t>Panel Chair</w:t>
            </w:r>
          </w:p>
        </w:tc>
      </w:tr>
      <w:tr w:rsidR="00D5547E" w14:paraId="4D2B1785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2C0A238" w14:textId="77777777" w:rsidR="00D5547E" w:rsidRPr="00EF2280" w:rsidRDefault="005325E4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 w:rsidRPr="00EF2280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31C3BB2" w14:textId="193149E6" w:rsidR="00D5547E" w:rsidRPr="000A02CF" w:rsidRDefault="00D5547E" w:rsidP="005325E4">
            <w:pPr>
              <w:spacing w:after="0"/>
              <w:rPr>
                <w:color w:val="auto"/>
              </w:rPr>
            </w:pPr>
            <w:r w:rsidRPr="000A02CF">
              <w:rPr>
                <w:color w:val="auto"/>
              </w:rPr>
              <w:t xml:space="preserve">Councillor </w:t>
            </w:r>
            <w:r w:rsidR="000A02CF" w:rsidRPr="000A02CF">
              <w:rPr>
                <w:bCs/>
                <w:color w:val="auto"/>
              </w:rPr>
              <w:t>Ed Turner</w:t>
            </w:r>
            <w:r w:rsidR="008F3A4D" w:rsidRPr="000A02CF">
              <w:rPr>
                <w:color w:val="auto"/>
              </w:rPr>
              <w:t xml:space="preserve">, </w:t>
            </w:r>
            <w:r w:rsidR="000A02CF" w:rsidRPr="000A02CF">
              <w:rPr>
                <w:color w:val="auto"/>
              </w:rPr>
              <w:t xml:space="preserve">Deputy Leader (Statutory) and </w:t>
            </w:r>
            <w:r w:rsidR="005325E4" w:rsidRPr="000A02CF">
              <w:rPr>
                <w:color w:val="auto"/>
              </w:rPr>
              <w:t>Cabinet</w:t>
            </w:r>
            <w:r w:rsidR="008F3A4D" w:rsidRPr="000A02CF">
              <w:rPr>
                <w:color w:val="auto"/>
              </w:rPr>
              <w:t xml:space="preserve"> Member for </w:t>
            </w:r>
            <w:r w:rsidR="000A02CF" w:rsidRPr="000A02CF">
              <w:rPr>
                <w:bCs/>
                <w:color w:val="auto"/>
              </w:rPr>
              <w:t>Finance and Asset Management</w:t>
            </w:r>
          </w:p>
        </w:tc>
      </w:tr>
      <w:tr w:rsidR="0080749A" w14:paraId="267A0B2D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322CD3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EE5685" w14:textId="07D485A1" w:rsidR="0080749A" w:rsidRPr="000A02CF" w:rsidRDefault="000A02CF" w:rsidP="005F7F7E">
            <w:pPr>
              <w:rPr>
                <w:bCs/>
                <w:color w:val="auto"/>
              </w:rPr>
            </w:pPr>
            <w:r w:rsidRPr="000A02CF">
              <w:rPr>
                <w:bCs/>
                <w:color w:val="auto"/>
              </w:rPr>
              <w:t>All</w:t>
            </w:r>
          </w:p>
        </w:tc>
      </w:tr>
      <w:tr w:rsidR="00D5547E" w14:paraId="3B4F97F8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30B958A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E74A0F4" w14:textId="5602ACFC" w:rsidR="00D5547E" w:rsidRPr="000A02CF" w:rsidRDefault="000A02CF" w:rsidP="008F3A4D">
            <w:pPr>
              <w:rPr>
                <w:bCs/>
                <w:color w:val="auto"/>
              </w:rPr>
            </w:pPr>
            <w:r w:rsidRPr="000A02CF">
              <w:rPr>
                <w:bCs/>
                <w:color w:val="auto"/>
              </w:rPr>
              <w:t>Council Strategy 2024-28</w:t>
            </w:r>
            <w:r w:rsidR="0078156F" w:rsidRPr="000A02CF">
              <w:rPr>
                <w:bCs/>
                <w:color w:val="auto"/>
              </w:rPr>
              <w:t xml:space="preserve"> </w:t>
            </w:r>
          </w:p>
        </w:tc>
      </w:tr>
      <w:tr w:rsidR="005F7F7E" w:rsidRPr="00975B07" w14:paraId="62CC8AC4" w14:textId="77777777" w:rsidTr="00A46E98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7785CB13" w14:textId="77777777" w:rsidR="005F7F7E" w:rsidRPr="00975B07" w:rsidRDefault="005F7F7E" w:rsidP="005325E4">
            <w:r>
              <w:rPr>
                <w:rStyle w:val="Firstpagetablebold"/>
              </w:rPr>
              <w:t>Recommendation(s):</w:t>
            </w:r>
            <w:r w:rsidR="00F672BA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EF2280">
              <w:rPr>
                <w:rStyle w:val="Firstpagetablebold"/>
              </w:rPr>
              <w:t xml:space="preserve">the </w:t>
            </w:r>
            <w:r w:rsidR="005325E4">
              <w:rPr>
                <w:rStyle w:val="Firstpagetablebold"/>
              </w:rPr>
              <w:t>Cabinet</w:t>
            </w:r>
            <w:r w:rsidR="00EF2280">
              <w:rPr>
                <w:rStyle w:val="Firstpagetablebold"/>
              </w:rPr>
              <w:t xml:space="preserve"> states whether it agrees or disagrees with the recommendations in the body of this report</w:t>
            </w:r>
          </w:p>
        </w:tc>
      </w:tr>
    </w:tbl>
    <w:p w14:paraId="5BF46C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078F1ED" w14:textId="77777777" w:rsidTr="00A46E98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62868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30208D" w:rsidRPr="00975B07" w14:paraId="4B637A4C" w14:textId="77777777" w:rsidTr="00A46E98"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AE5EA44" w14:textId="77777777" w:rsidR="0030208D" w:rsidRPr="005325E4" w:rsidRDefault="005325E4" w:rsidP="004A6D2F">
            <w:pPr>
              <w:rPr>
                <w:b/>
              </w:rPr>
            </w:pPr>
            <w:r w:rsidRPr="005325E4">
              <w:rPr>
                <w:b/>
              </w:rPr>
              <w:t>Appendix A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58EC07" w14:textId="77777777" w:rsidR="0030208D" w:rsidRPr="001356F1" w:rsidRDefault="005325E4" w:rsidP="004A6D2F">
            <w:r>
              <w:t xml:space="preserve">Draft Cabinet response to </w:t>
            </w:r>
            <w:r w:rsidR="00F672BA">
              <w:t xml:space="preserve">Scrutiny </w:t>
            </w:r>
            <w:r>
              <w:t>recommendations</w:t>
            </w:r>
          </w:p>
        </w:tc>
      </w:tr>
    </w:tbl>
    <w:p w14:paraId="42578077" w14:textId="77777777" w:rsidR="008B49EB" w:rsidRDefault="008B49EB" w:rsidP="007F4787">
      <w:pPr>
        <w:pStyle w:val="Heading1"/>
        <w:spacing w:before="0"/>
        <w:contextualSpacing/>
      </w:pPr>
    </w:p>
    <w:p w14:paraId="31E825C8" w14:textId="77777777" w:rsidR="0040736F" w:rsidRPr="001356F1" w:rsidRDefault="00F66DCA" w:rsidP="007F4787">
      <w:pPr>
        <w:pStyle w:val="Heading1"/>
        <w:spacing w:before="0"/>
        <w:contextualSpacing/>
      </w:pPr>
      <w:r w:rsidRPr="001356F1">
        <w:t xml:space="preserve">Introduction and </w:t>
      </w:r>
      <w:r w:rsidR="000A2D16">
        <w:t>overview</w:t>
      </w:r>
    </w:p>
    <w:p w14:paraId="31FE2740" w14:textId="79ACF7BC" w:rsidR="00F672BA" w:rsidRPr="000A02CF" w:rsidRDefault="00EF2280" w:rsidP="000A02CF">
      <w:pPr>
        <w:pStyle w:val="ListParagraph"/>
        <w:tabs>
          <w:tab w:val="clear" w:pos="426"/>
          <w:tab w:val="left" w:pos="284"/>
        </w:tabs>
        <w:spacing w:after="0"/>
        <w:ind w:left="284"/>
        <w:jc w:val="both"/>
        <w:rPr>
          <w:color w:val="auto"/>
        </w:rPr>
      </w:pPr>
      <w:r w:rsidRPr="000A02CF">
        <w:rPr>
          <w:color w:val="auto"/>
        </w:rPr>
        <w:t xml:space="preserve">The </w:t>
      </w:r>
      <w:r w:rsidR="000A02CF" w:rsidRPr="000A02CF">
        <w:rPr>
          <w:color w:val="auto"/>
        </w:rPr>
        <w:t>Finance and Performance</w:t>
      </w:r>
      <w:r w:rsidR="00F672BA" w:rsidRPr="000A02CF">
        <w:rPr>
          <w:color w:val="auto"/>
        </w:rPr>
        <w:t xml:space="preserve"> Panel</w:t>
      </w:r>
      <w:r w:rsidR="008F3A4D" w:rsidRPr="000A02CF">
        <w:rPr>
          <w:color w:val="auto"/>
        </w:rPr>
        <w:t xml:space="preserve"> </w:t>
      </w:r>
      <w:r w:rsidR="00F672BA" w:rsidRPr="000A02CF">
        <w:rPr>
          <w:color w:val="auto"/>
        </w:rPr>
        <w:t xml:space="preserve">met on </w:t>
      </w:r>
      <w:r w:rsidR="000A02CF" w:rsidRPr="000A02CF">
        <w:rPr>
          <w:color w:val="auto"/>
        </w:rPr>
        <w:t>04 September 2024</w:t>
      </w:r>
      <w:r w:rsidR="00F672BA" w:rsidRPr="000A02CF">
        <w:rPr>
          <w:color w:val="auto"/>
        </w:rPr>
        <w:t xml:space="preserve"> to consider </w:t>
      </w:r>
      <w:r w:rsidR="000A02CF" w:rsidRPr="000A02CF">
        <w:rPr>
          <w:color w:val="auto"/>
        </w:rPr>
        <w:t>the Integrated Performance Report for Quarter 1 2024/25</w:t>
      </w:r>
      <w:r w:rsidR="00F672BA" w:rsidRPr="000A02CF">
        <w:rPr>
          <w:color w:val="auto"/>
        </w:rPr>
        <w:t xml:space="preserve">. The report, which is due for Cabinet consideration on </w:t>
      </w:r>
      <w:r w:rsidR="000A02CF" w:rsidRPr="000A02CF">
        <w:rPr>
          <w:color w:val="auto"/>
        </w:rPr>
        <w:t>11 September 2024,</w:t>
      </w:r>
      <w:r w:rsidR="00F672BA" w:rsidRPr="000A02CF">
        <w:rPr>
          <w:color w:val="auto"/>
        </w:rPr>
        <w:t xml:space="preserve"> recommends that Cabinet </w:t>
      </w:r>
      <w:r w:rsidR="000A02CF" w:rsidRPr="000A02CF">
        <w:rPr>
          <w:color w:val="auto"/>
        </w:rPr>
        <w:t xml:space="preserve">notes the projected financial outturn as well as the position on risk and performance as </w:t>
      </w:r>
      <w:proofErr w:type="gramStart"/>
      <w:r w:rsidR="000A02CF" w:rsidRPr="000A02CF">
        <w:rPr>
          <w:color w:val="auto"/>
        </w:rPr>
        <w:t>at</w:t>
      </w:r>
      <w:proofErr w:type="gramEnd"/>
      <w:r w:rsidR="000A02CF" w:rsidRPr="000A02CF">
        <w:rPr>
          <w:color w:val="auto"/>
        </w:rPr>
        <w:t xml:space="preserve"> 30 June 2024.</w:t>
      </w:r>
    </w:p>
    <w:p w14:paraId="7E348190" w14:textId="77777777" w:rsidR="00F672BA" w:rsidRDefault="00F672BA" w:rsidP="00F672BA">
      <w:pPr>
        <w:pStyle w:val="ListParagraph"/>
        <w:numPr>
          <w:ilvl w:val="0"/>
          <w:numId w:val="0"/>
        </w:numPr>
        <w:spacing w:after="0"/>
        <w:ind w:left="426"/>
      </w:pPr>
    </w:p>
    <w:p w14:paraId="3F5B5DCF" w14:textId="53A7C833" w:rsidR="00E87F7A" w:rsidRDefault="008F3A4D" w:rsidP="000A02CF">
      <w:pPr>
        <w:pStyle w:val="ListParagraph"/>
        <w:tabs>
          <w:tab w:val="clear" w:pos="426"/>
          <w:tab w:val="left" w:pos="284"/>
        </w:tabs>
        <w:spacing w:after="0"/>
        <w:ind w:left="284"/>
        <w:jc w:val="both"/>
      </w:pPr>
      <w:r w:rsidRPr="008F3A4D">
        <w:t xml:space="preserve">The </w:t>
      </w:r>
      <w:r w:rsidR="00F672BA" w:rsidRPr="000A02CF">
        <w:rPr>
          <w:color w:val="auto"/>
        </w:rPr>
        <w:t>Panel</w:t>
      </w:r>
      <w:r w:rsidR="00EF2280" w:rsidRPr="000A02CF">
        <w:rPr>
          <w:color w:val="auto"/>
        </w:rPr>
        <w:t xml:space="preserve"> would like to thank</w:t>
      </w:r>
      <w:r w:rsidR="0078156F" w:rsidRPr="000A02CF">
        <w:rPr>
          <w:color w:val="auto"/>
        </w:rPr>
        <w:t xml:space="preserve"> Councillor </w:t>
      </w:r>
      <w:r w:rsidR="000A02CF" w:rsidRPr="000A02CF">
        <w:rPr>
          <w:color w:val="auto"/>
        </w:rPr>
        <w:t>Ed Turner</w:t>
      </w:r>
      <w:r w:rsidR="00F672BA" w:rsidRPr="000A02CF">
        <w:rPr>
          <w:color w:val="auto"/>
        </w:rPr>
        <w:t xml:space="preserve"> (</w:t>
      </w:r>
      <w:r w:rsidR="000A02CF" w:rsidRPr="000A02CF">
        <w:rPr>
          <w:color w:val="auto"/>
        </w:rPr>
        <w:t xml:space="preserve">Deputy Leader (Statutory) and Cabinet Member for </w:t>
      </w:r>
      <w:r w:rsidR="000A02CF" w:rsidRPr="000A02CF">
        <w:rPr>
          <w:bCs/>
          <w:color w:val="auto"/>
        </w:rPr>
        <w:t>Finance and Asset Management</w:t>
      </w:r>
      <w:r w:rsidR="00F672BA" w:rsidRPr="000A02CF">
        <w:rPr>
          <w:color w:val="auto"/>
        </w:rPr>
        <w:t>)</w:t>
      </w:r>
      <w:r w:rsidRPr="000A02CF">
        <w:rPr>
          <w:color w:val="auto"/>
        </w:rPr>
        <w:t xml:space="preserve"> and </w:t>
      </w:r>
      <w:r w:rsidR="000A02CF" w:rsidRPr="000A02CF">
        <w:rPr>
          <w:color w:val="auto"/>
        </w:rPr>
        <w:t>Nigel</w:t>
      </w:r>
      <w:r w:rsidR="00F672BA" w:rsidRPr="000A02CF">
        <w:rPr>
          <w:color w:val="auto"/>
        </w:rPr>
        <w:t xml:space="preserve"> </w:t>
      </w:r>
      <w:r w:rsidR="000A02CF" w:rsidRPr="000A02CF">
        <w:rPr>
          <w:color w:val="auto"/>
        </w:rPr>
        <w:t>Kennedy</w:t>
      </w:r>
      <w:r w:rsidR="004A7990" w:rsidRPr="000A02CF">
        <w:rPr>
          <w:color w:val="auto"/>
        </w:rPr>
        <w:t xml:space="preserve"> </w:t>
      </w:r>
      <w:r w:rsidRPr="000A02CF">
        <w:rPr>
          <w:rFonts w:cs="Arial"/>
          <w:color w:val="auto"/>
        </w:rPr>
        <w:t>(</w:t>
      </w:r>
      <w:r w:rsidR="000A02CF" w:rsidRPr="000A02CF">
        <w:rPr>
          <w:rFonts w:cs="Arial"/>
          <w:color w:val="auto"/>
        </w:rPr>
        <w:t>Head of Financial Services</w:t>
      </w:r>
      <w:r w:rsidRPr="000A02CF">
        <w:rPr>
          <w:rFonts w:cs="Arial"/>
          <w:color w:val="auto"/>
          <w:shd w:val="clear" w:color="auto" w:fill="FFFFFF"/>
        </w:rPr>
        <w:t>)</w:t>
      </w:r>
      <w:r w:rsidRPr="000A02CF">
        <w:rPr>
          <w:color w:val="auto"/>
        </w:rPr>
        <w:t xml:space="preserve"> </w:t>
      </w:r>
      <w:r w:rsidR="0078156F" w:rsidRPr="000A02CF">
        <w:rPr>
          <w:color w:val="auto"/>
        </w:rPr>
        <w:t xml:space="preserve">for attending the meeting to </w:t>
      </w:r>
      <w:r w:rsidR="00025603" w:rsidRPr="000A02CF">
        <w:rPr>
          <w:color w:val="auto"/>
        </w:rPr>
        <w:t>answer questions.</w:t>
      </w:r>
    </w:p>
    <w:p w14:paraId="2F2AA8A4" w14:textId="77777777" w:rsidR="004B1479" w:rsidRDefault="000A2D16" w:rsidP="004B1479">
      <w:pPr>
        <w:pStyle w:val="Heading1"/>
        <w:spacing w:after="0"/>
        <w:rPr>
          <w:color w:val="auto"/>
        </w:rPr>
      </w:pPr>
      <w:r w:rsidRPr="00C744C9">
        <w:rPr>
          <w:color w:val="auto"/>
        </w:rPr>
        <w:t>Summary and recommendations</w:t>
      </w:r>
    </w:p>
    <w:p w14:paraId="12945846" w14:textId="77777777" w:rsidR="004B1479" w:rsidRPr="004B1479" w:rsidRDefault="004B1479" w:rsidP="004B1479">
      <w:pPr>
        <w:spacing w:after="0"/>
      </w:pPr>
    </w:p>
    <w:p w14:paraId="600B2DD9" w14:textId="61915B48" w:rsidR="00025603" w:rsidRPr="000A02CF" w:rsidRDefault="00025603" w:rsidP="000A02CF">
      <w:pPr>
        <w:pStyle w:val="ListParagraph"/>
        <w:tabs>
          <w:tab w:val="clear" w:pos="426"/>
          <w:tab w:val="left" w:pos="284"/>
        </w:tabs>
        <w:ind w:left="284"/>
        <w:jc w:val="both"/>
        <w:rPr>
          <w:rFonts w:ascii="Arial-BoldMT" w:hAnsi="Arial-BoldMT" w:cs="Arial-BoldMT"/>
          <w:bCs/>
          <w:color w:val="auto"/>
        </w:rPr>
      </w:pPr>
      <w:r w:rsidRPr="000A02CF">
        <w:rPr>
          <w:rFonts w:ascii="Arial-BoldMT" w:hAnsi="Arial-BoldMT" w:cs="Arial-BoldMT"/>
          <w:bCs/>
          <w:color w:val="auto"/>
        </w:rPr>
        <w:t xml:space="preserve">Councillor </w:t>
      </w:r>
      <w:r w:rsidR="000A02CF" w:rsidRPr="000A02CF">
        <w:rPr>
          <w:color w:val="auto"/>
        </w:rPr>
        <w:t xml:space="preserve">Ed Turner (Deputy Leader (Statutory) and Cabinet Member for </w:t>
      </w:r>
      <w:r w:rsidR="000A02CF" w:rsidRPr="000A02CF">
        <w:rPr>
          <w:bCs/>
          <w:color w:val="auto"/>
        </w:rPr>
        <w:t>Finance and Asset Management</w:t>
      </w:r>
      <w:r w:rsidR="000A02CF" w:rsidRPr="000A02CF">
        <w:rPr>
          <w:color w:val="auto"/>
        </w:rPr>
        <w:t xml:space="preserve">) </w:t>
      </w:r>
      <w:r w:rsidRPr="000A02CF">
        <w:rPr>
          <w:color w:val="auto"/>
        </w:rPr>
        <w:t xml:space="preserve">introduced the report. The report provided an update </w:t>
      </w:r>
      <w:proofErr w:type="gramStart"/>
      <w:r w:rsidRPr="000A02CF">
        <w:rPr>
          <w:color w:val="auto"/>
        </w:rPr>
        <w:t xml:space="preserve">on </w:t>
      </w:r>
      <w:r w:rsidR="000A02CF" w:rsidRPr="000A02CF">
        <w:rPr>
          <w:color w:val="auto"/>
        </w:rPr>
        <w:t xml:space="preserve"> finance</w:t>
      </w:r>
      <w:proofErr w:type="gramEnd"/>
      <w:r w:rsidR="000A02CF" w:rsidRPr="000A02CF">
        <w:rPr>
          <w:color w:val="auto"/>
        </w:rPr>
        <w:t>, risk and corporate performance matters as at 30 June 2024.</w:t>
      </w:r>
      <w:r w:rsidRPr="000A02CF">
        <w:rPr>
          <w:color w:val="auto"/>
        </w:rPr>
        <w:t xml:space="preserve"> </w:t>
      </w:r>
    </w:p>
    <w:p w14:paraId="770A3FD0" w14:textId="0546E55A" w:rsidR="00025603" w:rsidRPr="00C13E7D" w:rsidRDefault="00025603" w:rsidP="00C13E7D">
      <w:pPr>
        <w:pStyle w:val="ListParagraph"/>
        <w:tabs>
          <w:tab w:val="clear" w:pos="426"/>
          <w:tab w:val="left" w:pos="284"/>
        </w:tabs>
        <w:ind w:left="284"/>
        <w:jc w:val="both"/>
        <w:rPr>
          <w:color w:val="auto"/>
        </w:rPr>
      </w:pPr>
      <w:r w:rsidRPr="00C13E7D">
        <w:rPr>
          <w:color w:val="auto"/>
        </w:rPr>
        <w:lastRenderedPageBreak/>
        <w:t xml:space="preserve">The </w:t>
      </w:r>
      <w:r w:rsidR="007D760C" w:rsidRPr="00C13E7D">
        <w:rPr>
          <w:color w:val="auto"/>
        </w:rPr>
        <w:t>Panel</w:t>
      </w:r>
      <w:r w:rsidRPr="00C13E7D">
        <w:rPr>
          <w:color w:val="auto"/>
        </w:rPr>
        <w:t xml:space="preserve"> asked a range of questions, including questions relating to </w:t>
      </w:r>
      <w:r w:rsidR="000A02CF" w:rsidRPr="00C13E7D">
        <w:rPr>
          <w:color w:val="auto"/>
        </w:rPr>
        <w:t xml:space="preserve">temporary accommodation demand and mitigations; the overspend on responsive and cyclical repairs; </w:t>
      </w:r>
      <w:r w:rsidR="00C13E7D" w:rsidRPr="00C13E7D">
        <w:rPr>
          <w:color w:val="auto"/>
        </w:rPr>
        <w:t xml:space="preserve">and the housing benefit subsidy. </w:t>
      </w:r>
    </w:p>
    <w:p w14:paraId="5F3EF583" w14:textId="77777777" w:rsidR="00C744C9" w:rsidRPr="00C744C9" w:rsidRDefault="00C744C9" w:rsidP="00154B22">
      <w:pPr>
        <w:pStyle w:val="ListParagraph"/>
        <w:numPr>
          <w:ilvl w:val="0"/>
          <w:numId w:val="0"/>
        </w:numPr>
        <w:spacing w:after="0"/>
        <w:rPr>
          <w:rFonts w:eastAsia="Calibri"/>
        </w:rPr>
      </w:pPr>
    </w:p>
    <w:p w14:paraId="0D5D929C" w14:textId="1D495608" w:rsidR="0062278B" w:rsidRPr="008C6207" w:rsidRDefault="00025603" w:rsidP="008C6207">
      <w:pPr>
        <w:pStyle w:val="ListParagraph"/>
        <w:tabs>
          <w:tab w:val="clear" w:pos="426"/>
          <w:tab w:val="left" w:pos="284"/>
        </w:tabs>
        <w:spacing w:after="0"/>
        <w:ind w:left="284"/>
        <w:jc w:val="both"/>
        <w:rPr>
          <w:rFonts w:eastAsia="Calibri"/>
          <w:color w:val="auto"/>
        </w:rPr>
      </w:pPr>
      <w:r w:rsidRPr="008C6207">
        <w:rPr>
          <w:color w:val="auto"/>
        </w:rPr>
        <w:t xml:space="preserve">In particular, the </w:t>
      </w:r>
      <w:r w:rsidR="007D760C" w:rsidRPr="008C6207">
        <w:rPr>
          <w:color w:val="auto"/>
        </w:rPr>
        <w:t>Panel</w:t>
      </w:r>
      <w:r w:rsidRPr="008C6207">
        <w:rPr>
          <w:color w:val="auto"/>
        </w:rPr>
        <w:t xml:space="preserve"> discussed</w:t>
      </w:r>
      <w:r w:rsidR="00C13E7D" w:rsidRPr="008C6207">
        <w:rPr>
          <w:color w:val="auto"/>
        </w:rPr>
        <w:t xml:space="preserve"> the financial impact on the Council of non-registered provider organisations being commissioned by the County Council to provide supported accommodation. The non-registered provider status meant that the Council could not claim housing benefit subsidy in relation to benefits paid to Oxford residents in supported accommodation provided by those organisations. The Panel </w:t>
      </w:r>
    </w:p>
    <w:p w14:paraId="59CE335A" w14:textId="77777777" w:rsidR="0062278B" w:rsidRPr="0062278B" w:rsidRDefault="0062278B" w:rsidP="0062278B">
      <w:pPr>
        <w:pStyle w:val="ListParagraph"/>
        <w:numPr>
          <w:ilvl w:val="0"/>
          <w:numId w:val="0"/>
        </w:numPr>
        <w:spacing w:after="0"/>
        <w:ind w:left="426"/>
        <w:rPr>
          <w:rFonts w:eastAsia="Calibri"/>
        </w:rPr>
      </w:pPr>
    </w:p>
    <w:p w14:paraId="7EFF527D" w14:textId="391D0E1D" w:rsidR="00C13E7D" w:rsidRDefault="00154B22" w:rsidP="008C6207">
      <w:pPr>
        <w:pStyle w:val="ListParagraph"/>
        <w:numPr>
          <w:ilvl w:val="0"/>
          <w:numId w:val="0"/>
        </w:numPr>
        <w:ind w:left="360"/>
        <w:jc w:val="both"/>
        <w:rPr>
          <w:b/>
          <w:i/>
        </w:rPr>
      </w:pPr>
      <w:r w:rsidRPr="007379B6">
        <w:rPr>
          <w:b/>
          <w:i/>
        </w:rPr>
        <w:t>Recommendation 1</w:t>
      </w:r>
      <w:r w:rsidR="00025603">
        <w:rPr>
          <w:b/>
          <w:i/>
        </w:rPr>
        <w:t>:</w:t>
      </w:r>
      <w:r w:rsidRPr="007379B6">
        <w:rPr>
          <w:b/>
          <w:i/>
        </w:rPr>
        <w:t xml:space="preserve"> That the Council</w:t>
      </w:r>
      <w:r w:rsidR="00C13E7D">
        <w:rPr>
          <w:b/>
          <w:i/>
        </w:rPr>
        <w:t xml:space="preserve"> produces an analysis related to the Council’s inability to claim housing benefit subsidy in respect of Oxford residents living in supported accommodation provided by non-registered provider organisations</w:t>
      </w:r>
      <w:r w:rsidR="008C6207">
        <w:rPr>
          <w:b/>
          <w:i/>
        </w:rPr>
        <w:t xml:space="preserve"> and the options available to address the related adverse variance within Council finances – and shares this report with the Finance and Performance Panel once available.</w:t>
      </w:r>
    </w:p>
    <w:p w14:paraId="1165B33A" w14:textId="77777777" w:rsidR="00C13E7D" w:rsidRDefault="00C13E7D" w:rsidP="00025603">
      <w:pPr>
        <w:pStyle w:val="ListParagraph"/>
        <w:numPr>
          <w:ilvl w:val="0"/>
          <w:numId w:val="0"/>
        </w:numPr>
        <w:ind w:left="360"/>
        <w:rPr>
          <w:b/>
          <w:i/>
        </w:rPr>
      </w:pPr>
    </w:p>
    <w:p w14:paraId="291D55C5" w14:textId="77777777" w:rsidR="007D760C" w:rsidRDefault="007D760C" w:rsidP="007D760C">
      <w:pPr>
        <w:pStyle w:val="ListParagraph"/>
        <w:numPr>
          <w:ilvl w:val="0"/>
          <w:numId w:val="0"/>
        </w:numPr>
        <w:spacing w:after="0"/>
        <w:ind w:left="360" w:hanging="360"/>
        <w:rPr>
          <w:b/>
          <w:i/>
        </w:rPr>
      </w:pPr>
    </w:p>
    <w:p w14:paraId="767A89C2" w14:textId="77777777" w:rsidR="007D760C" w:rsidRPr="008E4D66" w:rsidRDefault="007D760C" w:rsidP="002459FB">
      <w:pPr>
        <w:pStyle w:val="ListParagraph"/>
        <w:numPr>
          <w:ilvl w:val="0"/>
          <w:numId w:val="0"/>
        </w:numPr>
        <w:ind w:left="426" w:hanging="426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8E4D66" w14:paraId="2D6868EC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03D32F" w14:textId="77777777" w:rsidR="00E87F7A" w:rsidRPr="008E4D66" w:rsidRDefault="00E87F7A" w:rsidP="00A46E98">
            <w:pPr>
              <w:rPr>
                <w:b/>
                <w:color w:val="auto"/>
              </w:rPr>
            </w:pPr>
            <w:r w:rsidRPr="008E4D66">
              <w:rPr>
                <w:b/>
                <w:color w:val="auto"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987B7" w14:textId="77777777" w:rsidR="00E87F7A" w:rsidRPr="008E4D66" w:rsidRDefault="00025603" w:rsidP="00A46E98">
            <w:pPr>
              <w:rPr>
                <w:color w:val="auto"/>
              </w:rPr>
            </w:pPr>
            <w:r>
              <w:rPr>
                <w:color w:val="auto"/>
              </w:rPr>
              <w:t>Alice Courtney</w:t>
            </w:r>
          </w:p>
        </w:tc>
      </w:tr>
      <w:tr w:rsidR="00DF093E" w:rsidRPr="008E4D66" w14:paraId="02C865DC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98DFFE0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9DFB8E" w14:textId="77777777" w:rsidR="00E87F7A" w:rsidRPr="008E4D66" w:rsidRDefault="00EF2280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Scrutiny Officer</w:t>
            </w:r>
          </w:p>
        </w:tc>
      </w:tr>
      <w:tr w:rsidR="00DF093E" w:rsidRPr="008E4D66" w14:paraId="664B109D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CF8525B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D7C580F" w14:textId="77777777" w:rsidR="00E87F7A" w:rsidRPr="008E4D66" w:rsidRDefault="00EF2280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Law and Governance</w:t>
            </w:r>
          </w:p>
        </w:tc>
      </w:tr>
      <w:tr w:rsidR="00DF093E" w:rsidRPr="008E4D66" w14:paraId="15759039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8C936B7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4508F7" w14:textId="53232810" w:rsidR="00E87F7A" w:rsidRPr="008E4D66" w:rsidRDefault="000C3099" w:rsidP="005325E4">
            <w:pPr>
              <w:rPr>
                <w:color w:val="auto"/>
              </w:rPr>
            </w:pPr>
            <w:r>
              <w:rPr>
                <w:color w:val="auto"/>
              </w:rPr>
              <w:t>07483 010160</w:t>
            </w:r>
          </w:p>
        </w:tc>
      </w:tr>
      <w:tr w:rsidR="005570B5" w:rsidRPr="008E4D66" w14:paraId="46EB1715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A2A9FCA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0F45B" w14:textId="77777777" w:rsidR="00E87F7A" w:rsidRPr="008E4D66" w:rsidRDefault="008C6207" w:rsidP="00EF2280">
            <w:pPr>
              <w:rPr>
                <w:rStyle w:val="Hyperlink"/>
                <w:color w:val="auto"/>
              </w:rPr>
            </w:pPr>
            <w:hyperlink r:id="rId8" w:history="1">
              <w:r w:rsidR="00025603" w:rsidRPr="00C40CA1">
                <w:rPr>
                  <w:rStyle w:val="Hyperlink"/>
                </w:rPr>
                <w:t>acourtney@oxford.gov.uk</w:t>
              </w:r>
            </w:hyperlink>
            <w:r w:rsidR="00025603">
              <w:rPr>
                <w:rStyle w:val="Hyperlink"/>
                <w:color w:val="auto"/>
              </w:rPr>
              <w:t xml:space="preserve"> </w:t>
            </w:r>
          </w:p>
        </w:tc>
      </w:tr>
    </w:tbl>
    <w:p w14:paraId="43E15A2B" w14:textId="77777777" w:rsidR="00433B96" w:rsidRPr="008E4D66" w:rsidRDefault="00433B96" w:rsidP="004A6D2F">
      <w:pPr>
        <w:rPr>
          <w:color w:val="auto"/>
        </w:rPr>
      </w:pPr>
    </w:p>
    <w:p w14:paraId="374CFFC9" w14:textId="77777777" w:rsidR="0054712D" w:rsidRDefault="0054712D" w:rsidP="0093067A"/>
    <w:p w14:paraId="1FFD8588" w14:textId="77777777" w:rsidR="004456DD" w:rsidRPr="009E51FC" w:rsidRDefault="004456DD" w:rsidP="0093067A"/>
    <w:sectPr w:rsidR="004456DD" w:rsidRPr="009E51FC" w:rsidSect="004B1479">
      <w:footerReference w:type="even" r:id="rId9"/>
      <w:headerReference w:type="first" r:id="rId10"/>
      <w:footerReference w:type="first" r:id="rId11"/>
      <w:pgSz w:w="11906" w:h="16838" w:code="9"/>
      <w:pgMar w:top="1560" w:right="1304" w:bottom="993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ED8F" w14:textId="77777777" w:rsidR="00770C4C" w:rsidRDefault="00770C4C" w:rsidP="004A6D2F">
      <w:r>
        <w:separator/>
      </w:r>
    </w:p>
  </w:endnote>
  <w:endnote w:type="continuationSeparator" w:id="0">
    <w:p w14:paraId="06978F5F" w14:textId="77777777" w:rsidR="00770C4C" w:rsidRDefault="00770C4C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96D" w14:textId="77777777" w:rsidR="00364FAD" w:rsidRDefault="00364FAD" w:rsidP="004A6D2F">
    <w:pPr>
      <w:pStyle w:val="Footer"/>
    </w:pPr>
    <w:r>
      <w:t>Do not use a footer or page numbers.</w:t>
    </w:r>
  </w:p>
  <w:p w14:paraId="6374703D" w14:textId="77777777" w:rsidR="00364FAD" w:rsidRDefault="00364FAD" w:rsidP="004A6D2F">
    <w:pPr>
      <w:pStyle w:val="Footer"/>
    </w:pPr>
  </w:p>
  <w:p w14:paraId="0502C59B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DEF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7F22" w14:textId="77777777" w:rsidR="00770C4C" w:rsidRDefault="00770C4C" w:rsidP="004A6D2F">
      <w:r>
        <w:separator/>
      </w:r>
    </w:p>
  </w:footnote>
  <w:footnote w:type="continuationSeparator" w:id="0">
    <w:p w14:paraId="0763CA7A" w14:textId="77777777" w:rsidR="00770C4C" w:rsidRDefault="00770C4C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766F" w14:textId="60E4DFD2" w:rsidR="00D5547E" w:rsidRDefault="00537D0F" w:rsidP="00D5547E">
    <w:pPr>
      <w:pStyle w:val="Header"/>
      <w:jc w:val="right"/>
    </w:pPr>
    <w:r>
      <w:rPr>
        <w:noProof/>
      </w:rPr>
      <w:drawing>
        <wp:inline distT="0" distB="0" distL="0" distR="0" wp14:anchorId="2972E956" wp14:editId="0527BF5C">
          <wp:extent cx="843280" cy="1116330"/>
          <wp:effectExtent l="0" t="0" r="0" b="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486"/>
    <w:multiLevelType w:val="hybridMultilevel"/>
    <w:tmpl w:val="A676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C05EF"/>
    <w:multiLevelType w:val="multilevel"/>
    <w:tmpl w:val="43D6D2FA"/>
    <w:numStyleLink w:val="StyleBulletedSymbolsymbolLeft063cmHanging063cm"/>
  </w:abstractNum>
  <w:abstractNum w:abstractNumId="14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83F11"/>
    <w:multiLevelType w:val="hybridMultilevel"/>
    <w:tmpl w:val="70B68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263A6A"/>
    <w:multiLevelType w:val="multilevel"/>
    <w:tmpl w:val="43D6D2FA"/>
    <w:numStyleLink w:val="StyleBulletedSymbolsymbolLeft063cmHanging063cm"/>
  </w:abstractNum>
  <w:abstractNum w:abstractNumId="20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105"/>
    <w:multiLevelType w:val="hybridMultilevel"/>
    <w:tmpl w:val="5B2E79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6FFC"/>
    <w:multiLevelType w:val="hybridMultilevel"/>
    <w:tmpl w:val="F1E2085A"/>
    <w:lvl w:ilvl="0" w:tplc="97FAC59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A5FD8"/>
    <w:multiLevelType w:val="multilevel"/>
    <w:tmpl w:val="43D6D2FA"/>
    <w:numStyleLink w:val="StyleBulletedSymbolsymbolLeft063cmHanging063cm"/>
  </w:abstractNum>
  <w:abstractNum w:abstractNumId="31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2831"/>
    <w:multiLevelType w:val="multilevel"/>
    <w:tmpl w:val="43D6D2FA"/>
    <w:numStyleLink w:val="StyleBulletedSymbolsymbolLeft063cmHanging063cm"/>
  </w:abstractNum>
  <w:abstractNum w:abstractNumId="33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365C6"/>
    <w:multiLevelType w:val="multilevel"/>
    <w:tmpl w:val="414C55A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147327">
    <w:abstractNumId w:val="29"/>
  </w:num>
  <w:num w:numId="2" w16cid:durableId="1434666705">
    <w:abstractNumId w:val="34"/>
  </w:num>
  <w:num w:numId="3" w16cid:durableId="2019887226">
    <w:abstractNumId w:val="25"/>
  </w:num>
  <w:num w:numId="4" w16cid:durableId="1415399336">
    <w:abstractNumId w:val="20"/>
  </w:num>
  <w:num w:numId="5" w16cid:durableId="844780811">
    <w:abstractNumId w:val="31"/>
  </w:num>
  <w:num w:numId="6" w16cid:durableId="1151751745">
    <w:abstractNumId w:val="35"/>
  </w:num>
  <w:num w:numId="7" w16cid:durableId="1343119045">
    <w:abstractNumId w:val="24"/>
  </w:num>
  <w:num w:numId="8" w16cid:durableId="2047945858">
    <w:abstractNumId w:val="22"/>
  </w:num>
  <w:num w:numId="9" w16cid:durableId="1092554191">
    <w:abstractNumId w:val="14"/>
  </w:num>
  <w:num w:numId="10" w16cid:durableId="2009014510">
    <w:abstractNumId w:val="16"/>
  </w:num>
  <w:num w:numId="11" w16cid:durableId="238174090">
    <w:abstractNumId w:val="27"/>
  </w:num>
  <w:num w:numId="12" w16cid:durableId="1151291645">
    <w:abstractNumId w:val="26"/>
  </w:num>
  <w:num w:numId="13" w16cid:durableId="1290286107">
    <w:abstractNumId w:val="11"/>
  </w:num>
  <w:num w:numId="14" w16cid:durableId="731539169">
    <w:abstractNumId w:val="36"/>
  </w:num>
  <w:num w:numId="15" w16cid:durableId="409886243">
    <w:abstractNumId w:val="18"/>
  </w:num>
  <w:num w:numId="16" w16cid:durableId="546335368">
    <w:abstractNumId w:val="12"/>
  </w:num>
  <w:num w:numId="17" w16cid:durableId="1057702436">
    <w:abstractNumId w:val="30"/>
  </w:num>
  <w:num w:numId="18" w16cid:durableId="643045811">
    <w:abstractNumId w:val="13"/>
  </w:num>
  <w:num w:numId="19" w16cid:durableId="727415431">
    <w:abstractNumId w:val="32"/>
  </w:num>
  <w:num w:numId="20" w16cid:durableId="1671132711">
    <w:abstractNumId w:val="19"/>
  </w:num>
  <w:num w:numId="21" w16cid:durableId="1970167149">
    <w:abstractNumId w:val="23"/>
  </w:num>
  <w:num w:numId="22" w16cid:durableId="1860506462">
    <w:abstractNumId w:val="15"/>
  </w:num>
  <w:num w:numId="23" w16cid:durableId="959727240">
    <w:abstractNumId w:val="33"/>
  </w:num>
  <w:num w:numId="24" w16cid:durableId="100150748">
    <w:abstractNumId w:val="9"/>
  </w:num>
  <w:num w:numId="25" w16cid:durableId="378864230">
    <w:abstractNumId w:val="8"/>
  </w:num>
  <w:num w:numId="26" w16cid:durableId="1149370397">
    <w:abstractNumId w:val="7"/>
  </w:num>
  <w:num w:numId="27" w16cid:durableId="2055500368">
    <w:abstractNumId w:val="6"/>
  </w:num>
  <w:num w:numId="28" w16cid:durableId="1041787066">
    <w:abstractNumId w:val="5"/>
  </w:num>
  <w:num w:numId="29" w16cid:durableId="1820686021">
    <w:abstractNumId w:val="4"/>
  </w:num>
  <w:num w:numId="30" w16cid:durableId="1096100992">
    <w:abstractNumId w:val="3"/>
  </w:num>
  <w:num w:numId="31" w16cid:durableId="1706715938">
    <w:abstractNumId w:val="2"/>
  </w:num>
  <w:num w:numId="32" w16cid:durableId="860237779">
    <w:abstractNumId w:val="1"/>
  </w:num>
  <w:num w:numId="33" w16cid:durableId="1609849866">
    <w:abstractNumId w:val="0"/>
  </w:num>
  <w:num w:numId="34" w16cid:durableId="1072697438">
    <w:abstractNumId w:val="21"/>
  </w:num>
  <w:num w:numId="35" w16cid:durableId="569655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451995">
    <w:abstractNumId w:val="10"/>
  </w:num>
  <w:num w:numId="37" w16cid:durableId="200265810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117D4"/>
    <w:rsid w:val="00017BD4"/>
    <w:rsid w:val="00025603"/>
    <w:rsid w:val="00045F8B"/>
    <w:rsid w:val="00046D2B"/>
    <w:rsid w:val="00056263"/>
    <w:rsid w:val="00064D8A"/>
    <w:rsid w:val="00064F82"/>
    <w:rsid w:val="00066510"/>
    <w:rsid w:val="00077523"/>
    <w:rsid w:val="00094E51"/>
    <w:rsid w:val="000A02CF"/>
    <w:rsid w:val="000A2D16"/>
    <w:rsid w:val="000C089F"/>
    <w:rsid w:val="000C237A"/>
    <w:rsid w:val="000C3099"/>
    <w:rsid w:val="000C3928"/>
    <w:rsid w:val="000C5E8E"/>
    <w:rsid w:val="000F4751"/>
    <w:rsid w:val="0010524C"/>
    <w:rsid w:val="00111FB1"/>
    <w:rsid w:val="00113418"/>
    <w:rsid w:val="001356F1"/>
    <w:rsid w:val="00136994"/>
    <w:rsid w:val="0014128E"/>
    <w:rsid w:val="00151888"/>
    <w:rsid w:val="00154B22"/>
    <w:rsid w:val="00170A2D"/>
    <w:rsid w:val="001808BC"/>
    <w:rsid w:val="00182B81"/>
    <w:rsid w:val="0018619D"/>
    <w:rsid w:val="001A011E"/>
    <w:rsid w:val="001A066A"/>
    <w:rsid w:val="001A13E6"/>
    <w:rsid w:val="001A5731"/>
    <w:rsid w:val="001B42C3"/>
    <w:rsid w:val="001C5D5E"/>
    <w:rsid w:val="001D14DE"/>
    <w:rsid w:val="001D678D"/>
    <w:rsid w:val="001E03F8"/>
    <w:rsid w:val="001E3376"/>
    <w:rsid w:val="001F0C5E"/>
    <w:rsid w:val="001F6D87"/>
    <w:rsid w:val="002069B3"/>
    <w:rsid w:val="0021759A"/>
    <w:rsid w:val="0022150D"/>
    <w:rsid w:val="002329CF"/>
    <w:rsid w:val="00232F5B"/>
    <w:rsid w:val="00237510"/>
    <w:rsid w:val="00237A21"/>
    <w:rsid w:val="002459FB"/>
    <w:rsid w:val="00247C29"/>
    <w:rsid w:val="00260467"/>
    <w:rsid w:val="00263EA3"/>
    <w:rsid w:val="00284F85"/>
    <w:rsid w:val="00290915"/>
    <w:rsid w:val="002A22E2"/>
    <w:rsid w:val="002C64F7"/>
    <w:rsid w:val="002F41F2"/>
    <w:rsid w:val="00301BF3"/>
    <w:rsid w:val="0030208D"/>
    <w:rsid w:val="00323418"/>
    <w:rsid w:val="003357BF"/>
    <w:rsid w:val="00364FAD"/>
    <w:rsid w:val="0036738F"/>
    <w:rsid w:val="0036759C"/>
    <w:rsid w:val="00367AE5"/>
    <w:rsid w:val="00367D71"/>
    <w:rsid w:val="0038150A"/>
    <w:rsid w:val="003B6E75"/>
    <w:rsid w:val="003B7DA1"/>
    <w:rsid w:val="003D0379"/>
    <w:rsid w:val="003D2574"/>
    <w:rsid w:val="003D4C59"/>
    <w:rsid w:val="003F4267"/>
    <w:rsid w:val="00404032"/>
    <w:rsid w:val="0040736F"/>
    <w:rsid w:val="00410E3C"/>
    <w:rsid w:val="00412C1F"/>
    <w:rsid w:val="00421CB2"/>
    <w:rsid w:val="004268B9"/>
    <w:rsid w:val="00433B96"/>
    <w:rsid w:val="004440F1"/>
    <w:rsid w:val="004456DD"/>
    <w:rsid w:val="00446CDF"/>
    <w:rsid w:val="004521B7"/>
    <w:rsid w:val="00462AB5"/>
    <w:rsid w:val="00465EAF"/>
    <w:rsid w:val="004738C5"/>
    <w:rsid w:val="00491046"/>
    <w:rsid w:val="004A2AC7"/>
    <w:rsid w:val="004A6D2F"/>
    <w:rsid w:val="004A7990"/>
    <w:rsid w:val="004B1479"/>
    <w:rsid w:val="004B5EC0"/>
    <w:rsid w:val="004C2887"/>
    <w:rsid w:val="004C3163"/>
    <w:rsid w:val="004D2626"/>
    <w:rsid w:val="004D6E26"/>
    <w:rsid w:val="004D77D3"/>
    <w:rsid w:val="004E2959"/>
    <w:rsid w:val="004E6599"/>
    <w:rsid w:val="004F20EF"/>
    <w:rsid w:val="0050321C"/>
    <w:rsid w:val="005325E4"/>
    <w:rsid w:val="00537D0F"/>
    <w:rsid w:val="0054712D"/>
    <w:rsid w:val="00547EF6"/>
    <w:rsid w:val="005570B5"/>
    <w:rsid w:val="00567E18"/>
    <w:rsid w:val="00575F5F"/>
    <w:rsid w:val="005761F5"/>
    <w:rsid w:val="00581805"/>
    <w:rsid w:val="00585F76"/>
    <w:rsid w:val="005A34E4"/>
    <w:rsid w:val="005B17F2"/>
    <w:rsid w:val="005B7FB0"/>
    <w:rsid w:val="005C35A5"/>
    <w:rsid w:val="005C577C"/>
    <w:rsid w:val="005D0621"/>
    <w:rsid w:val="005D1E27"/>
    <w:rsid w:val="005D2A3E"/>
    <w:rsid w:val="005E022E"/>
    <w:rsid w:val="005E5215"/>
    <w:rsid w:val="005F7F7E"/>
    <w:rsid w:val="00614693"/>
    <w:rsid w:val="00614DA1"/>
    <w:rsid w:val="0062278B"/>
    <w:rsid w:val="00623C2F"/>
    <w:rsid w:val="00633578"/>
    <w:rsid w:val="00637068"/>
    <w:rsid w:val="006465F2"/>
    <w:rsid w:val="00650811"/>
    <w:rsid w:val="00661D3E"/>
    <w:rsid w:val="006902C0"/>
    <w:rsid w:val="00692627"/>
    <w:rsid w:val="006969E7"/>
    <w:rsid w:val="006A3643"/>
    <w:rsid w:val="006C2A29"/>
    <w:rsid w:val="006C64CF"/>
    <w:rsid w:val="006D17B1"/>
    <w:rsid w:val="006D4752"/>
    <w:rsid w:val="006D708A"/>
    <w:rsid w:val="006E14C1"/>
    <w:rsid w:val="006F0292"/>
    <w:rsid w:val="006F27FA"/>
    <w:rsid w:val="006F416B"/>
    <w:rsid w:val="006F519B"/>
    <w:rsid w:val="00713675"/>
    <w:rsid w:val="00715823"/>
    <w:rsid w:val="00727B92"/>
    <w:rsid w:val="007379B6"/>
    <w:rsid w:val="00737B93"/>
    <w:rsid w:val="007449F4"/>
    <w:rsid w:val="00745BF0"/>
    <w:rsid w:val="007513C8"/>
    <w:rsid w:val="007615FE"/>
    <w:rsid w:val="0076655C"/>
    <w:rsid w:val="00767F25"/>
    <w:rsid w:val="00770C4C"/>
    <w:rsid w:val="007742DC"/>
    <w:rsid w:val="0078156F"/>
    <w:rsid w:val="00790788"/>
    <w:rsid w:val="00791437"/>
    <w:rsid w:val="007A7A70"/>
    <w:rsid w:val="007B0C2C"/>
    <w:rsid w:val="007B278E"/>
    <w:rsid w:val="007C5C23"/>
    <w:rsid w:val="007D760C"/>
    <w:rsid w:val="007E2A26"/>
    <w:rsid w:val="007F2348"/>
    <w:rsid w:val="007F4787"/>
    <w:rsid w:val="00803F07"/>
    <w:rsid w:val="008041F4"/>
    <w:rsid w:val="0080749A"/>
    <w:rsid w:val="0082136A"/>
    <w:rsid w:val="00821FB8"/>
    <w:rsid w:val="00822ACD"/>
    <w:rsid w:val="00855C66"/>
    <w:rsid w:val="00871EE4"/>
    <w:rsid w:val="008B293F"/>
    <w:rsid w:val="008B49EB"/>
    <w:rsid w:val="008B7371"/>
    <w:rsid w:val="008C6207"/>
    <w:rsid w:val="008D3DDB"/>
    <w:rsid w:val="008E4D66"/>
    <w:rsid w:val="008F3A4D"/>
    <w:rsid w:val="008F573F"/>
    <w:rsid w:val="008F5B20"/>
    <w:rsid w:val="009034EC"/>
    <w:rsid w:val="0093067A"/>
    <w:rsid w:val="00941C60"/>
    <w:rsid w:val="00966D42"/>
    <w:rsid w:val="00971689"/>
    <w:rsid w:val="00973E90"/>
    <w:rsid w:val="00975B07"/>
    <w:rsid w:val="00980B4A"/>
    <w:rsid w:val="00990ADC"/>
    <w:rsid w:val="009C3FAF"/>
    <w:rsid w:val="009E3D0A"/>
    <w:rsid w:val="009E51FC"/>
    <w:rsid w:val="009F1D28"/>
    <w:rsid w:val="009F7618"/>
    <w:rsid w:val="00A04D23"/>
    <w:rsid w:val="00A06766"/>
    <w:rsid w:val="00A13765"/>
    <w:rsid w:val="00A21B12"/>
    <w:rsid w:val="00A23F80"/>
    <w:rsid w:val="00A46E98"/>
    <w:rsid w:val="00A6352B"/>
    <w:rsid w:val="00A701B5"/>
    <w:rsid w:val="00A714BB"/>
    <w:rsid w:val="00A76186"/>
    <w:rsid w:val="00A92D8F"/>
    <w:rsid w:val="00AB2988"/>
    <w:rsid w:val="00AB7999"/>
    <w:rsid w:val="00AD3292"/>
    <w:rsid w:val="00AE194D"/>
    <w:rsid w:val="00AE7AF0"/>
    <w:rsid w:val="00B500CA"/>
    <w:rsid w:val="00B86314"/>
    <w:rsid w:val="00BA1C2E"/>
    <w:rsid w:val="00BB34D9"/>
    <w:rsid w:val="00BC200B"/>
    <w:rsid w:val="00BC4756"/>
    <w:rsid w:val="00BC69A4"/>
    <w:rsid w:val="00BE0680"/>
    <w:rsid w:val="00BE305F"/>
    <w:rsid w:val="00BE7BA3"/>
    <w:rsid w:val="00BF5682"/>
    <w:rsid w:val="00BF7B09"/>
    <w:rsid w:val="00C13E7D"/>
    <w:rsid w:val="00C20A95"/>
    <w:rsid w:val="00C24717"/>
    <w:rsid w:val="00C2692F"/>
    <w:rsid w:val="00C3207C"/>
    <w:rsid w:val="00C400E1"/>
    <w:rsid w:val="00C41187"/>
    <w:rsid w:val="00C63C31"/>
    <w:rsid w:val="00C744C9"/>
    <w:rsid w:val="00C757A0"/>
    <w:rsid w:val="00C760DE"/>
    <w:rsid w:val="00C82630"/>
    <w:rsid w:val="00C84163"/>
    <w:rsid w:val="00C85B4E"/>
    <w:rsid w:val="00C907F7"/>
    <w:rsid w:val="00C938BD"/>
    <w:rsid w:val="00CA2103"/>
    <w:rsid w:val="00CB6B99"/>
    <w:rsid w:val="00CC422A"/>
    <w:rsid w:val="00CD7D8E"/>
    <w:rsid w:val="00CE4C87"/>
    <w:rsid w:val="00CE544A"/>
    <w:rsid w:val="00CE72D5"/>
    <w:rsid w:val="00D06005"/>
    <w:rsid w:val="00D11E1C"/>
    <w:rsid w:val="00D160B0"/>
    <w:rsid w:val="00D17F94"/>
    <w:rsid w:val="00D223FC"/>
    <w:rsid w:val="00D26D1E"/>
    <w:rsid w:val="00D474CF"/>
    <w:rsid w:val="00D5547E"/>
    <w:rsid w:val="00D806E3"/>
    <w:rsid w:val="00D869A1"/>
    <w:rsid w:val="00DA413F"/>
    <w:rsid w:val="00DA4584"/>
    <w:rsid w:val="00DA614B"/>
    <w:rsid w:val="00DB070F"/>
    <w:rsid w:val="00DB4DCA"/>
    <w:rsid w:val="00DB6F76"/>
    <w:rsid w:val="00DC3060"/>
    <w:rsid w:val="00DE0FB2"/>
    <w:rsid w:val="00DF093E"/>
    <w:rsid w:val="00E01F42"/>
    <w:rsid w:val="00E206D6"/>
    <w:rsid w:val="00E3366E"/>
    <w:rsid w:val="00E402B3"/>
    <w:rsid w:val="00E45717"/>
    <w:rsid w:val="00E52086"/>
    <w:rsid w:val="00E543A6"/>
    <w:rsid w:val="00E60479"/>
    <w:rsid w:val="00E61D73"/>
    <w:rsid w:val="00E73684"/>
    <w:rsid w:val="00E818D6"/>
    <w:rsid w:val="00E87F7A"/>
    <w:rsid w:val="00E96BD7"/>
    <w:rsid w:val="00EA0DB1"/>
    <w:rsid w:val="00EA0EE9"/>
    <w:rsid w:val="00ED52CA"/>
    <w:rsid w:val="00ED5860"/>
    <w:rsid w:val="00EE35C9"/>
    <w:rsid w:val="00EF2280"/>
    <w:rsid w:val="00F05ECA"/>
    <w:rsid w:val="00F3469D"/>
    <w:rsid w:val="00F3566E"/>
    <w:rsid w:val="00F375FB"/>
    <w:rsid w:val="00F41AC1"/>
    <w:rsid w:val="00F4367A"/>
    <w:rsid w:val="00F445B1"/>
    <w:rsid w:val="00F45CD4"/>
    <w:rsid w:val="00F66DCA"/>
    <w:rsid w:val="00F672BA"/>
    <w:rsid w:val="00F724E6"/>
    <w:rsid w:val="00F74F53"/>
    <w:rsid w:val="00F7606D"/>
    <w:rsid w:val="00F81670"/>
    <w:rsid w:val="00F82024"/>
    <w:rsid w:val="00F94A4F"/>
    <w:rsid w:val="00F95BC9"/>
    <w:rsid w:val="00FA624C"/>
    <w:rsid w:val="00FD0FAC"/>
    <w:rsid w:val="00FD1DFA"/>
    <w:rsid w:val="00FD4966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83CD8"/>
  <w15:chartTrackingRefBased/>
  <w15:docId w15:val="{044C9D0F-5535-4C5C-95AF-7A3AEB2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spelle">
    <w:name w:val="spelle"/>
    <w:rsid w:val="008F3A4D"/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5603"/>
    <w:rPr>
      <w:color w:val="605E5C"/>
      <w:shd w:val="clear" w:color="auto" w:fill="E1DFDD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urtney@ox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9D01-5D50-4322-AAD6-8E47C3F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2825</CharactersWithSpaces>
  <SharedDoc>false</SharedDoc>
  <HLinks>
    <vt:vector size="6" baseType="variant">
      <vt:variant>
        <vt:i4>7733274</vt:i4>
      </vt:variant>
      <vt:variant>
        <vt:i4>0</vt:i4>
      </vt:variant>
      <vt:variant>
        <vt:i4>0</vt:i4>
      </vt:variant>
      <vt:variant>
        <vt:i4>5</vt:i4>
      </vt:variant>
      <vt:variant>
        <vt:lpwstr>mailto:acourtney@oxford.gov.uk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COURTNEY Alice</cp:lastModifiedBy>
  <cp:revision>4</cp:revision>
  <cp:lastPrinted>2018-04-09T10:50:00Z</cp:lastPrinted>
  <dcterms:created xsi:type="dcterms:W3CDTF">2024-02-01T11:03:00Z</dcterms:created>
  <dcterms:modified xsi:type="dcterms:W3CDTF">2024-09-04T18:59:00Z</dcterms:modified>
</cp:coreProperties>
</file>